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3" w:rsidRPr="00D30993" w:rsidRDefault="00D30993" w:rsidP="00D30993">
      <w:pPr>
        <w:shd w:val="clear" w:color="auto" w:fill="FFFFFF"/>
        <w:spacing w:before="300" w:after="150"/>
        <w:outlineLvl w:val="1"/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  <w:t>Цены на железобетонные изделия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110"/>
        <w:gridCol w:w="2532"/>
        <w:gridCol w:w="3238"/>
      </w:tblGrid>
      <w:tr w:rsidR="00D30993" w:rsidRPr="00D30993" w:rsidTr="00D30993">
        <w:trPr>
          <w:trHeight w:val="10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Единица измерения.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Цена, руб., в 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т.ч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. НДС 18%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Железобетонные изделия для устройства колодцев O 1000 мм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1300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1380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1600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 крышкой ПК 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 дном ДК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Плита низа 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ПН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1200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Плита перекрытия ПП 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1200</w:t>
            </w:r>
          </w:p>
        </w:tc>
      </w:tr>
      <w:tr w:rsidR="00D30993" w:rsidRPr="00D30993" w:rsidTr="00D30993">
        <w:trPr>
          <w:trHeight w:val="10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Плита перекрытия с легким полимерно-песчаным люком ПП 10-2 с ЛПП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2450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Железобетонные изделия с 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пазогребневым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«замком» для колодцев O 1000 мм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Кольцо сквозное паз/гребень КС 10-9 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/г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1600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 дном ДК 10-9ПГ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2900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Железобетонные изделия для устройства колодцев O 1500 мм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2250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2350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Плита перекрытия ПП 15-2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2750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 дном ДК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5400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Плита низа 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ПН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2750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Железобетонные изделия для устройства колодцев O 2000 мм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20-6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4550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20-9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5300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Плита перекрытия ПП 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5300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Плита низа 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ПН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5300</w:t>
            </w:r>
          </w:p>
        </w:tc>
      </w:tr>
      <w:tr w:rsidR="00D30993" w:rsidRPr="00D30993" w:rsidTr="00D30993">
        <w:trPr>
          <w:trHeight w:val="72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lastRenderedPageBreak/>
              <w:t>Железобетонные изделия для устройства колодцев O 700 мм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860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1150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сквозное КС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1500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Сопутствующие товары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опорное КО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Кольцо опорное КО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330</w:t>
            </w:r>
          </w:p>
        </w:tc>
      </w:tr>
    </w:tbl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  <w:t> </w:t>
      </w:r>
    </w:p>
    <w:p w:rsidR="00D30993" w:rsidRPr="00D30993" w:rsidRDefault="00D30993" w:rsidP="00D30993">
      <w:pPr>
        <w:shd w:val="clear" w:color="auto" w:fill="FFFFFF"/>
        <w:spacing w:before="300" w:after="150"/>
        <w:outlineLvl w:val="1"/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  <w:t>Цена песка за 1 куб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144"/>
        <w:gridCol w:w="2684"/>
        <w:gridCol w:w="5788"/>
      </w:tblGrid>
      <w:tr w:rsidR="00D30993" w:rsidRPr="00D30993" w:rsidTr="00D30993">
        <w:tc>
          <w:tcPr>
            <w:tcW w:w="780" w:type="dxa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№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п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45" w:type="dxa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Наименование материала (карьера)</w:t>
            </w:r>
          </w:p>
        </w:tc>
        <w:tc>
          <w:tcPr>
            <w:tcW w:w="2685" w:type="dxa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90" w:type="dxa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Цена продажи руб./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м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.к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уб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 xml:space="preserve"> ( с учетом НДС)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Красненькая (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морской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520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Красненькая (</w:t>
            </w: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классифицир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8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525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Манушкино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(намывной)</w:t>
            </w:r>
          </w:p>
        </w:tc>
        <w:tc>
          <w:tcPr>
            <w:tcW w:w="2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385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Манушкино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(горный II сорт)</w:t>
            </w:r>
          </w:p>
        </w:tc>
        <w:tc>
          <w:tcPr>
            <w:tcW w:w="268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265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Манушкино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(горный IV сорт)</w:t>
            </w:r>
          </w:p>
        </w:tc>
        <w:tc>
          <w:tcPr>
            <w:tcW w:w="2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115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4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Манушкин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о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(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грунт вскрышной </w:t>
            </w: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сортI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8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50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1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Воронцовское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(сеяный)</w:t>
            </w:r>
          </w:p>
        </w:tc>
        <w:tc>
          <w:tcPr>
            <w:tcW w:w="2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310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Воронцовское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(горный II сорт)</w:t>
            </w:r>
          </w:p>
        </w:tc>
        <w:tc>
          <w:tcPr>
            <w:tcW w:w="2685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200</w:t>
            </w:r>
          </w:p>
        </w:tc>
      </w:tr>
      <w:tr w:rsidR="00D30993" w:rsidRPr="00D30993" w:rsidTr="00D30993">
        <w:tc>
          <w:tcPr>
            <w:tcW w:w="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Апраксин Бор (горный II сорт)</w:t>
            </w:r>
          </w:p>
        </w:tc>
        <w:tc>
          <w:tcPr>
            <w:tcW w:w="2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270</w:t>
            </w:r>
          </w:p>
        </w:tc>
      </w:tr>
    </w:tbl>
    <w:p w:rsidR="00D30993" w:rsidRPr="00D30993" w:rsidRDefault="00D30993" w:rsidP="00D30993">
      <w:pPr>
        <w:shd w:val="clear" w:color="auto" w:fill="FFFFFF"/>
        <w:spacing w:before="300" w:after="150"/>
        <w:outlineLvl w:val="1"/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  <w:t>Цена цемента за тонну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9"/>
        <w:gridCol w:w="1959"/>
        <w:gridCol w:w="2482"/>
      </w:tblGrid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Производитель, условия поставки</w:t>
            </w:r>
          </w:p>
        </w:tc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Марка цемента</w:t>
            </w:r>
          </w:p>
        </w:tc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Цена с учетом НДС-18%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Петербургцемент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, с доставкой автотранспортом Поставщика в г. СПБ, Ленинградская и Новгородская область.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II/А-Ш 32,5Н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5 200,00</w:t>
            </w:r>
          </w:p>
        </w:tc>
      </w:tr>
      <w:tr w:rsidR="00D30993" w:rsidRPr="00D30993" w:rsidTr="00D30993">
        <w:trPr>
          <w:trHeight w:val="369"/>
        </w:trPr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Петербургцемент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, с доставкой автотранспортом Поставщика в Псковскую область.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II/А-Ш 32,5Н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5 300,00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Петербургцемент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, с доставкой автотранспортом Поставщика в г. СПБ, Ленинградская и Новгородская область.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 42.5Н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5 400,00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Петербургцемент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, с доставкой автотранспортом Поставщика в Псковскую область.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 42.5Н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5 500,00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Пикалевский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цемент, с доставкой автотранспортом Поставщика в г. СПБ, Ленинградская и Новгородская область.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ПЦ 500 Д0Н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5 400,00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Пикалевский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цемент, с доставкой автотранспортом Поставщика в Псковскую область.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ПЦ 500 Д0Н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5 500,00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БЦЗ (Белоруссия), с доставкой автотранспортом Поставщика в г. СПБ и ЛО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 42.5Н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5 600,00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БЦЗ (Белоруссия), на самовывоз Покупателем г. СПБ Колпино Финляндская ул.36 </w:t>
            </w: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Бетонекс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>ЦЕМ I 42.5Н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5 300,00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 xml:space="preserve">БЦЗ (Белоруссия), на самовывоз Покупателем г. СПБ </w:t>
            </w:r>
            <w:proofErr w:type="spell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Краснопутиловская</w:t>
            </w:r>
            <w:proofErr w:type="spell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д.48 «Такс</w:t>
            </w: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и-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Бетон»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 42.5Н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5 300,00</w:t>
            </w:r>
          </w:p>
        </w:tc>
      </w:tr>
      <w:tr w:rsidR="00D30993" w:rsidRPr="00D30993" w:rsidTr="00D30993">
        <w:trPr>
          <w:trHeight w:val="360"/>
        </w:trPr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БЦЗ (Белоруссия), на самовывоз Покупателем г. СПБ Парнас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ЦЕМ I 42.5Н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5 300,00</w:t>
            </w:r>
          </w:p>
        </w:tc>
      </w:tr>
    </w:tbl>
    <w:p w:rsidR="00D30993" w:rsidRPr="00D30993" w:rsidRDefault="00D30993" w:rsidP="00D30993">
      <w:pPr>
        <w:shd w:val="clear" w:color="auto" w:fill="FFFFFF"/>
        <w:spacing w:before="300" w:after="150"/>
        <w:outlineLvl w:val="1"/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  <w:t>Цена щебня за 1 куб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4978"/>
        <w:gridCol w:w="2827"/>
        <w:gridCol w:w="5707"/>
      </w:tblGrid>
      <w:tr w:rsidR="00D30993" w:rsidRPr="00D30993" w:rsidTr="00D30993"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№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п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Наименование материала (карьера)</w:t>
            </w:r>
          </w:p>
        </w:tc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07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Цена продажи руб./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м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.к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>уб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FFFFFF"/>
                <w:sz w:val="26"/>
                <w:szCs w:val="26"/>
                <w:lang w:eastAsia="ru-RU"/>
              </w:rPr>
              <w:t xml:space="preserve"> ( с учетом НДС)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Боровинка (5-20)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750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Боровинка (20-40)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520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Боровинка (отсев 0-5)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200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Пруды (5-20)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770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Пруды (20-40)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520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Пруды (отсев 0-5)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200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 (5-20)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775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 (20-40)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550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 (40-70)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530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 (ЩПС 0-20)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200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 (ЩПС 0-80, 0-40)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580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(розовый отсев 0-5)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580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gramStart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Кузнечное</w:t>
            </w:r>
            <w:proofErr w:type="gramEnd"/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 xml:space="preserve"> (отсев 0-5)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200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Софийская, 99 (20-40)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1070</w:t>
            </w:r>
          </w:p>
        </w:tc>
      </w:tr>
      <w:tr w:rsidR="00D30993" w:rsidRPr="00D30993" w:rsidTr="00D3099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Софийская, 99 (40-70)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м</w:t>
            </w:r>
            <w:r w:rsidRPr="00D30993">
              <w:rPr>
                <w:rFonts w:ascii="opensans" w:eastAsia="Times New Roman" w:hAnsi="opensans" w:cs="Times New Roman"/>
                <w:color w:val="868789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1050</w:t>
            </w:r>
          </w:p>
        </w:tc>
      </w:tr>
    </w:tbl>
    <w:p w:rsidR="00D30993" w:rsidRPr="00D30993" w:rsidRDefault="00D30993" w:rsidP="00D30993">
      <w:pPr>
        <w:shd w:val="clear" w:color="auto" w:fill="FFFFFF"/>
        <w:spacing w:before="300" w:after="150"/>
        <w:outlineLvl w:val="1"/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45"/>
          <w:szCs w:val="45"/>
          <w:lang w:eastAsia="ru-RU"/>
        </w:rPr>
        <w:t>Цена бетона за 1 куб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353"/>
        <w:gridCol w:w="1798"/>
        <w:gridCol w:w="950"/>
        <w:gridCol w:w="541"/>
        <w:gridCol w:w="1798"/>
        <w:gridCol w:w="950"/>
        <w:gridCol w:w="1798"/>
      </w:tblGrid>
      <w:tr w:rsidR="00D30993" w:rsidRPr="00D30993" w:rsidTr="00D3099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ТОВАРНЫЙ БЕТОН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jc w:val="center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МОНТАЖНЫЙ/КЛАДОЧНЫЙ РАСТВОРЫ</w:t>
            </w: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br/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Класс/Марка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Цена 1м³,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Цена 1м³,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Цена 1м³, руб.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7,5/М100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2800</w:t>
            </w: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12,5/М150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2900</w:t>
            </w: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3000</w:t>
            </w: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15/М200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³00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3200</w:t>
            </w: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2860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20/М250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22,5/м³00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lastRenderedPageBreak/>
              <w:t>В 25/м³50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30/М400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В 35/М450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  <w:tr w:rsidR="00D30993" w:rsidRPr="00D30993" w:rsidTr="00D30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D30993" w:rsidRPr="00D30993" w:rsidRDefault="00D30993" w:rsidP="00D30993">
            <w:pPr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  <w:t>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</w:p>
        </w:tc>
      </w:tr>
    </w:tbl>
    <w:p w:rsidR="00D30993" w:rsidRPr="00D30993" w:rsidRDefault="00D30993" w:rsidP="00D30993">
      <w:pPr>
        <w:shd w:val="clear" w:color="auto" w:fill="FFFFFF"/>
        <w:spacing w:before="300" w:after="150"/>
        <w:outlineLvl w:val="2"/>
        <w:rPr>
          <w:rFonts w:ascii="opensans" w:eastAsia="Times New Roman" w:hAnsi="opensans" w:cs="Times New Roman"/>
          <w:color w:val="868789"/>
          <w:sz w:val="36"/>
          <w:szCs w:val="36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36"/>
          <w:szCs w:val="36"/>
          <w:lang w:eastAsia="ru-RU"/>
        </w:rPr>
        <w:t>Цена на подачу бетона</w:t>
      </w:r>
    </w:p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от 01.04.2017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897"/>
      </w:tblGrid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ДЛИНА СТРЕЛЫ*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СТОИМОСТЬ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16м — 24м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1800 руб./час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28м — 30м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1850 руб./час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32м — 36м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1900 руб./час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40м — 45м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2500 руб./час</w:t>
            </w:r>
          </w:p>
        </w:tc>
      </w:tr>
    </w:tbl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* Минимальный заказ по времени работы (при объёме до 70 м³) — 2 час (дороги)+5 час (работы)</w:t>
      </w:r>
    </w:p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992"/>
        <w:gridCol w:w="3615"/>
      </w:tblGrid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«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Гофрорукав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до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+1500 руб.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Гидролоток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до 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+2000 руб.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АБН «</w:t>
            </w:r>
            <w:proofErr w:type="spell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бесстреловой</w:t>
            </w:r>
            <w:proofErr w:type="spell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подача до 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12600 руб.+150 руб./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м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шланга</w:t>
            </w:r>
          </w:p>
        </w:tc>
      </w:tr>
    </w:tbl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  <w:t> </w:t>
      </w:r>
    </w:p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При заказе объема от 70 м³ и интенсивности подачи бетона не менее 10м³ в час, стоимость АБН (автобетононасос) составляет: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622"/>
        <w:gridCol w:w="3139"/>
        <w:gridCol w:w="3387"/>
      </w:tblGrid>
      <w:tr w:rsidR="00D30993" w:rsidRPr="00D30993" w:rsidTr="00D309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ДЛИНА СТРЕЛЫ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Подача АБН до объекта + стоимость прокачки бетона</w:t>
            </w:r>
          </w:p>
        </w:tc>
      </w:tr>
      <w:tr w:rsidR="00D30993" w:rsidRPr="00D30993" w:rsidTr="00D309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16м — 24м 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 час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а(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подача) + 180 руб./м³</w:t>
            </w:r>
          </w:p>
        </w:tc>
      </w:tr>
      <w:tr w:rsidR="00D30993" w:rsidRPr="00D30993" w:rsidTr="00D309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28м — 30м 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 час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а(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подача) + 185 руб./м³</w:t>
            </w:r>
          </w:p>
        </w:tc>
      </w:tr>
      <w:tr w:rsidR="00D30993" w:rsidRPr="00D30993" w:rsidTr="00D309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32м — 36м 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 час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а(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подача) + 190 руб./м³</w:t>
            </w:r>
          </w:p>
        </w:tc>
      </w:tr>
      <w:tr w:rsidR="00D30993" w:rsidRPr="00D30993" w:rsidTr="00D309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АБН 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40м — 45м 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2 час</w:t>
            </w:r>
            <w:proofErr w:type="gramStart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а(</w:t>
            </w:r>
            <w:proofErr w:type="gramEnd"/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 xml:space="preserve"> подача) + 250 руб./м³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Расчёт времени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до 50 км: 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50-80 км: 3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spacing w:line="371" w:lineRule="atLeast"/>
              <w:rPr>
                <w:rFonts w:ascii="opensans" w:eastAsia="Times New Roman" w:hAnsi="opensans" w:cs="Times New Roman"/>
                <w:color w:val="868789"/>
                <w:sz w:val="26"/>
                <w:szCs w:val="26"/>
                <w:lang w:eastAsia="ru-RU"/>
              </w:rPr>
            </w:pPr>
            <w:r w:rsidRPr="00D30993">
              <w:rPr>
                <w:rFonts w:ascii="opensans" w:eastAsia="Times New Roman" w:hAnsi="opensans" w:cs="Times New Roman"/>
                <w:b/>
                <w:bCs/>
                <w:color w:val="868789"/>
                <w:sz w:val="26"/>
                <w:szCs w:val="26"/>
                <w:lang w:eastAsia="ru-RU"/>
              </w:rPr>
              <w:t>80-100 км: 4 ч</w:t>
            </w:r>
          </w:p>
        </w:tc>
      </w:tr>
    </w:tbl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  <w:t> </w:t>
      </w:r>
    </w:p>
    <w:p w:rsidR="00D30993" w:rsidRPr="00D30993" w:rsidRDefault="00D30993" w:rsidP="00D30993">
      <w:pPr>
        <w:shd w:val="clear" w:color="auto" w:fill="FFFFFF"/>
        <w:spacing w:after="150" w:line="371" w:lineRule="atLeast"/>
        <w:rPr>
          <w:rFonts w:ascii="opensans" w:eastAsia="Times New Roman" w:hAnsi="opensans" w:cs="Times New Roman"/>
          <w:color w:val="868789"/>
          <w:sz w:val="26"/>
          <w:szCs w:val="26"/>
          <w:lang w:eastAsia="ru-RU"/>
        </w:rPr>
      </w:pPr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В случае простоя АБС (</w:t>
      </w:r>
      <w:proofErr w:type="spellStart"/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автобетоносмеситель</w:t>
      </w:r>
      <w:proofErr w:type="spellEnd"/>
      <w:r w:rsidRPr="00D30993">
        <w:rPr>
          <w:rFonts w:ascii="opensans" w:eastAsia="Times New Roman" w:hAnsi="opensans" w:cs="Times New Roman"/>
          <w:b/>
          <w:bCs/>
          <w:color w:val="868789"/>
          <w:sz w:val="26"/>
          <w:szCs w:val="26"/>
          <w:lang w:eastAsia="ru-RU"/>
        </w:rPr>
        <w:t>) на разгрузке свыше 60 мин., простой оплачивается по следующему повременному тарифу: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510"/>
        <w:gridCol w:w="510"/>
        <w:gridCol w:w="510"/>
        <w:gridCol w:w="510"/>
        <w:gridCol w:w="630"/>
        <w:gridCol w:w="630"/>
        <w:gridCol w:w="630"/>
      </w:tblGrid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Ёмкость АБС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12м³</w:t>
            </w:r>
          </w:p>
        </w:tc>
      </w:tr>
      <w:tr w:rsidR="00D30993" w:rsidRPr="00D30993" w:rsidTr="00D30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простоя руб./час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993" w:rsidRPr="00D30993" w:rsidRDefault="00D30993" w:rsidP="00D3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30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3"/>
    <w:rsid w:val="00CA5B97"/>
    <w:rsid w:val="00D3099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309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09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30993"/>
    <w:rPr>
      <w:b/>
      <w:bCs/>
    </w:rPr>
  </w:style>
  <w:style w:type="paragraph" w:styleId="a4">
    <w:name w:val="Normal (Web)"/>
    <w:basedOn w:val="a"/>
    <w:uiPriority w:val="99"/>
    <w:semiHidden/>
    <w:unhideWhenUsed/>
    <w:rsid w:val="00D30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309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09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30993"/>
    <w:rPr>
      <w:b/>
      <w:bCs/>
    </w:rPr>
  </w:style>
  <w:style w:type="paragraph" w:styleId="a4">
    <w:name w:val="Normal (Web)"/>
    <w:basedOn w:val="a"/>
    <w:uiPriority w:val="99"/>
    <w:semiHidden/>
    <w:unhideWhenUsed/>
    <w:rsid w:val="00D30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2018-07-26T08:03:00Z</dcterms:created>
  <dcterms:modified xsi:type="dcterms:W3CDTF">2018-07-26T08:04:00Z</dcterms:modified>
</cp:coreProperties>
</file>