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4A" w:rsidRPr="00604A4A" w:rsidRDefault="00604A4A" w:rsidP="00604A4A">
      <w:pPr>
        <w:shd w:val="clear" w:color="auto" w:fill="FFFFFF"/>
        <w:spacing w:before="144" w:after="144" w:line="281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04A4A">
        <w:rPr>
          <w:rFonts w:ascii="Arial" w:eastAsia="Times New Roman" w:hAnsi="Arial" w:cs="Arial"/>
          <w:color w:val="000000"/>
          <w:lang w:eastAsia="ru-RU"/>
        </w:rPr>
        <w:t>Цены для различных секторов Москвы указаны в таблице.</w:t>
      </w:r>
    </w:p>
    <w:tbl>
      <w:tblPr>
        <w:tblW w:w="10155" w:type="dxa"/>
        <w:tblBorders>
          <w:top w:val="single" w:sz="18" w:space="0" w:color="E7E7E7"/>
          <w:left w:val="single" w:sz="18" w:space="0" w:color="E7E7E7"/>
          <w:bottom w:val="single" w:sz="18" w:space="0" w:color="E7E7E7"/>
          <w:right w:val="single" w:sz="1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490"/>
        <w:gridCol w:w="1490"/>
        <w:gridCol w:w="1490"/>
      </w:tblGrid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3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hyperlink r:id="rId5" w:history="1"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Щебень гравийный</w:t>
              </w:r>
            </w:hyperlink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br/>
              <w:t>(фр. 5-20 мм, 20-40 мм, 40-70 мм)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1500 руб.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1600 руб.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1800 руб.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Щебень гравийный</w:t>
            </w: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br/>
              <w:t>(фр. 5-20 мм, 20-40 мм, 40-70 мм) </w:t>
            </w:r>
            <w:r w:rsidRPr="00604A4A">
              <w:rPr>
                <w:rFonts w:ascii="inherit" w:eastAsia="Times New Roman" w:hAnsi="inherit" w:cs="Arial"/>
                <w:color w:val="FF0000"/>
                <w:bdr w:val="none" w:sz="0" w:space="0" w:color="auto" w:frame="1"/>
                <w:lang w:eastAsia="ru-RU"/>
              </w:rPr>
              <w:t>самовывоз</w:t>
            </w:r>
          </w:p>
        </w:tc>
        <w:tc>
          <w:tcPr>
            <w:tcW w:w="0" w:type="auto"/>
            <w:gridSpan w:val="3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1300 руб./м</w:t>
            </w:r>
            <w:r w:rsidRPr="00604A4A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</w:tbl>
    <w:p w:rsidR="00604A4A" w:rsidRPr="00604A4A" w:rsidRDefault="00604A4A" w:rsidP="00604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18" w:space="0" w:color="E7E7E7"/>
          <w:left w:val="single" w:sz="18" w:space="0" w:color="E7E7E7"/>
          <w:bottom w:val="single" w:sz="18" w:space="0" w:color="E7E7E7"/>
          <w:right w:val="single" w:sz="1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859"/>
        <w:gridCol w:w="858"/>
        <w:gridCol w:w="858"/>
        <w:gridCol w:w="858"/>
        <w:gridCol w:w="858"/>
        <w:gridCol w:w="858"/>
      </w:tblGrid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1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2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Сектор 3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15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25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15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25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15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70707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707070"/>
                <w:lang w:eastAsia="ru-RU"/>
              </w:rPr>
              <w:t>25 м</w:t>
            </w:r>
            <w:r w:rsidRPr="00604A4A">
              <w:rPr>
                <w:rFonts w:ascii="inherit" w:eastAsia="Times New Roman" w:hAnsi="inherit" w:cs="Arial"/>
                <w:color w:val="707070"/>
                <w:sz w:val="19"/>
                <w:szCs w:val="19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hyperlink r:id="rId6" w:history="1">
              <w:proofErr w:type="spellStart"/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Торфо</w:t>
              </w:r>
              <w:proofErr w:type="spellEnd"/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-земельная смесь</w:t>
              </w:r>
            </w:hyperlink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 (</w:t>
            </w:r>
            <w:proofErr w:type="spellStart"/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почвогрунт</w:t>
            </w:r>
            <w:proofErr w:type="spellEnd"/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1300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hyperlink r:id="rId7" w:history="1">
              <w:proofErr w:type="spellStart"/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Торфо</w:t>
              </w:r>
              <w:proofErr w:type="spellEnd"/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-песчаная смесь</w:t>
              </w:r>
            </w:hyperlink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 (растительный грунт)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1300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proofErr w:type="spellStart"/>
            <w:r w:rsidRPr="00604A4A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Торфо</w:t>
            </w:r>
            <w:proofErr w:type="spellEnd"/>
            <w:r w:rsidRPr="00604A4A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-земельно-песчаная смесь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1300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hyperlink r:id="rId8" w:history="1"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Торф верховой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1500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hyperlink r:id="rId9" w:history="1">
              <w:r w:rsidRPr="00604A4A">
                <w:rPr>
                  <w:rFonts w:ascii="inherit" w:eastAsia="Times New Roman" w:hAnsi="inherit" w:cs="Arial"/>
                  <w:b/>
                  <w:bCs/>
                  <w:color w:val="464646"/>
                  <w:u w:val="single"/>
                  <w:bdr w:val="none" w:sz="0" w:space="0" w:color="auto" w:frame="1"/>
                  <w:lang w:eastAsia="ru-RU"/>
                </w:rPr>
                <w:t>Торф верховой (фрезерованный)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1800</w:t>
            </w:r>
          </w:p>
        </w:tc>
      </w:tr>
      <w:tr w:rsidR="00604A4A" w:rsidRPr="00604A4A" w:rsidTr="00604A4A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ТПС, ТЗС</w:t>
            </w: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 </w:t>
            </w:r>
            <w:r w:rsidRPr="00604A4A">
              <w:rPr>
                <w:rFonts w:ascii="inherit" w:eastAsia="Times New Roman" w:hAnsi="inherit" w:cs="Arial"/>
                <w:color w:val="FF0000"/>
                <w:bdr w:val="none" w:sz="0" w:space="0" w:color="auto" w:frame="1"/>
                <w:lang w:eastAsia="ru-RU"/>
              </w:rPr>
              <w:t>самовывоз</w:t>
            </w:r>
          </w:p>
        </w:tc>
        <w:tc>
          <w:tcPr>
            <w:tcW w:w="0" w:type="auto"/>
            <w:gridSpan w:val="6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4A4A" w:rsidRPr="00604A4A" w:rsidRDefault="00604A4A" w:rsidP="00604A4A">
            <w:pPr>
              <w:spacing w:line="281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604A4A">
              <w:rPr>
                <w:rFonts w:ascii="inherit" w:eastAsia="Times New Roman" w:hAnsi="inherit" w:cs="Arial"/>
                <w:color w:val="000000"/>
                <w:lang w:eastAsia="ru-RU"/>
              </w:rPr>
              <w:t>600 руб.</w:t>
            </w:r>
          </w:p>
        </w:tc>
      </w:tr>
    </w:tbl>
    <w:p w:rsidR="00604A4A" w:rsidRPr="00604A4A" w:rsidRDefault="00604A4A" w:rsidP="00604A4A">
      <w:pPr>
        <w:shd w:val="clear" w:color="auto" w:fill="FFFFFF"/>
        <w:spacing w:before="257" w:after="128"/>
        <w:textAlignment w:val="baseline"/>
        <w:outlineLvl w:val="1"/>
        <w:rPr>
          <w:rFonts w:ascii="Arial" w:eastAsia="Times New Roman" w:hAnsi="Arial" w:cs="Arial"/>
          <w:b/>
          <w:bCs/>
          <w:color w:val="099243"/>
          <w:sz w:val="36"/>
          <w:szCs w:val="36"/>
          <w:lang w:eastAsia="ru-RU"/>
        </w:rPr>
      </w:pPr>
      <w:r w:rsidRPr="00604A4A">
        <w:rPr>
          <w:rFonts w:ascii="Arial" w:eastAsia="Times New Roman" w:hAnsi="Arial" w:cs="Arial"/>
          <w:b/>
          <w:bCs/>
          <w:color w:val="099243"/>
          <w:sz w:val="36"/>
          <w:szCs w:val="36"/>
          <w:lang w:eastAsia="ru-RU"/>
        </w:rPr>
        <w:t>Сектора</w:t>
      </w:r>
    </w:p>
    <w:p w:rsidR="00604A4A" w:rsidRPr="00604A4A" w:rsidRDefault="00604A4A" w:rsidP="00604A4A">
      <w:pPr>
        <w:shd w:val="clear" w:color="auto" w:fill="FFFFFF"/>
        <w:spacing w:before="144" w:after="144" w:line="281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4686300" cy="5048250"/>
            <wp:effectExtent l="0" t="0" r="0" b="0"/>
            <wp:docPr id="1" name="Рисунок 1" descr="http://www.avtodiezel.ru/i/m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diezel.ru/i/m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4A"/>
    <w:rsid w:val="00604A4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04A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A4A"/>
    <w:rPr>
      <w:b/>
      <w:bCs/>
    </w:rPr>
  </w:style>
  <w:style w:type="character" w:customStyle="1" w:styleId="apple-converted-space">
    <w:name w:val="apple-converted-space"/>
    <w:basedOn w:val="a0"/>
    <w:rsid w:val="00604A4A"/>
  </w:style>
  <w:style w:type="paragraph" w:styleId="a5">
    <w:name w:val="Balloon Text"/>
    <w:basedOn w:val="a"/>
    <w:link w:val="a6"/>
    <w:uiPriority w:val="99"/>
    <w:semiHidden/>
    <w:unhideWhenUsed/>
    <w:rsid w:val="00604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04A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A4A"/>
    <w:rPr>
      <w:b/>
      <w:bCs/>
    </w:rPr>
  </w:style>
  <w:style w:type="character" w:customStyle="1" w:styleId="apple-converted-space">
    <w:name w:val="apple-converted-space"/>
    <w:basedOn w:val="a0"/>
    <w:rsid w:val="00604A4A"/>
  </w:style>
  <w:style w:type="paragraph" w:styleId="a5">
    <w:name w:val="Balloon Text"/>
    <w:basedOn w:val="a"/>
    <w:link w:val="a6"/>
    <w:uiPriority w:val="99"/>
    <w:semiHidden/>
    <w:unhideWhenUsed/>
    <w:rsid w:val="00604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todiezel.ru/to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todiezel.ru/torf-pesch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vtodiezel.ru/torf-zeme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vtodiezel.ru/scheben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vtodiezel.ru/to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2018-04-06T13:46:00Z</dcterms:created>
  <dcterms:modified xsi:type="dcterms:W3CDTF">2018-04-06T13:47:00Z</dcterms:modified>
</cp:coreProperties>
</file>