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5" w:bottomFromText="1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189"/>
        <w:gridCol w:w="2315"/>
        <w:gridCol w:w="522"/>
        <w:gridCol w:w="603"/>
        <w:gridCol w:w="522"/>
        <w:gridCol w:w="6"/>
      </w:tblGrid>
      <w:tr w:rsidR="00350BA3" w:rsidRPr="00350BA3" w:rsidTr="00350BA3">
        <w:trPr>
          <w:trHeight w:val="270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11" w:type="dxa"/>
            <w:vMerge w:val="restart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Цена с учетом НДС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-5</w:t>
            </w:r>
            <w:proofErr w:type="gram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-10</w:t>
            </w:r>
            <w:proofErr w:type="gram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4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9256" w:type="dxa"/>
            <w:gridSpan w:val="6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eastAsia="ru-RU"/>
              </w:rPr>
              <w:t>Цементно-песчаный раствор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Цементно-песчаные растворы</w:t>
            </w: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  <w:proofErr w:type="spellStart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применяютя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при стяжке полов, затирки швов кирпичных стен, а также для заполнения швов сборных железобетонных конструкций.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М 50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М 75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М 100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490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М 150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27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М 200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  <w:r w:rsidRPr="00350BA3"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0" w:name="cement2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9256" w:type="dxa"/>
            <w:gridSpan w:val="6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eastAsia="ru-RU"/>
              </w:rPr>
              <w:t>Бетон на ОПГС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Бетон на ОПГС</w:t>
            </w: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 используется для </w:t>
            </w:r>
            <w:proofErr w:type="spellStart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зпливки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полов, фундаментов, подготовки к заливке, а также производства железобетонных изделий.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</w:t>
            </w:r>
            <w:proofErr w:type="gram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7</w:t>
            </w:r>
            <w:proofErr w:type="gram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,5 (М100)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039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3134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В12,5 (М150)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В15 (М200)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3150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lastRenderedPageBreak/>
              <w:t>В20 (М250)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487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582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В22,5 (М300)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550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698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870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В25 (М350)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</w:t>
            </w: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697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val="en-US" w:eastAsia="ru-RU"/>
              </w:rPr>
              <w:t>3970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  <w:r w:rsidRPr="00350BA3"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  <w:br/>
            </w:r>
            <w:bookmarkStart w:id="1" w:name="cement3"/>
            <w:bookmarkEnd w:id="1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9256" w:type="dxa"/>
            <w:gridSpan w:val="6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eastAsia="ru-RU"/>
              </w:rPr>
              <w:t>Бетон на гранитном щебне</w:t>
            </w:r>
          </w:p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Бетон на гранитном щебне</w:t>
            </w:r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 применяется при заливке фундаментов </w:t>
            </w:r>
            <w:proofErr w:type="spellStart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повышеной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прочности, лестниц, перекрытий, а также для дорожного строительства. </w:t>
            </w:r>
            <w:proofErr w:type="spellStart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Изотовление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низких марок бетона на гранитном щебне невозможно.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В20 (М250)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3980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4152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4252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В22,5 (М300)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4250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4350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В25 (М350)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4250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В30 (М400)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В35 (М450)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BA3" w:rsidRPr="00350BA3" w:rsidTr="00350BA3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В40 (М500)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куб.м</w:t>
            </w:r>
            <w:proofErr w:type="spellEnd"/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spacing w:before="180" w:after="15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A3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BA3" w:rsidRPr="00350BA3" w:rsidRDefault="00350BA3" w:rsidP="00350BA3">
            <w:pPr>
              <w:rPr>
                <w:rFonts w:ascii="Lucida Sans" w:eastAsia="Times New Roman" w:hAnsi="Lucida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val="en-US"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lastRenderedPageBreak/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 </w:t>
      </w:r>
    </w:p>
    <w:p w:rsidR="00350BA3" w:rsidRPr="00350BA3" w:rsidRDefault="00350BA3" w:rsidP="00350BA3">
      <w:pPr>
        <w:shd w:val="clear" w:color="auto" w:fill="FFFFFF"/>
        <w:spacing w:before="180" w:after="150" w:line="21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350BA3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Стоимость</w:t>
      </w: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 xml:space="preserve"> </w:t>
      </w:r>
      <w:r w:rsidRPr="00350BA3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доставки</w:t>
      </w: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 xml:space="preserve"> </w:t>
      </w:r>
      <w:r w:rsidRPr="00350BA3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уточняйте</w:t>
      </w: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 xml:space="preserve"> </w:t>
      </w:r>
      <w:r w:rsidRPr="00350BA3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у</w:t>
      </w: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 xml:space="preserve"> </w:t>
      </w:r>
      <w:r w:rsidRPr="00350BA3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оператора</w:t>
      </w:r>
      <w:r w:rsidRPr="00350BA3">
        <w:rPr>
          <w:rFonts w:ascii="Lucida Sans" w:eastAsia="Times New Roman" w:hAnsi="Lucida Sans" w:cs="Times New Roman"/>
          <w:color w:val="010101"/>
          <w:sz w:val="20"/>
          <w:szCs w:val="20"/>
          <w:lang w:eastAsia="ru-RU"/>
        </w:rPr>
        <w:t>.</w:t>
      </w:r>
    </w:p>
    <w:p w:rsidR="00FB53AF" w:rsidRDefault="00FB53AF">
      <w:bookmarkStart w:id="2" w:name="_GoBack"/>
      <w:bookmarkEnd w:id="2"/>
    </w:p>
    <w:sectPr w:rsidR="00FB53AF" w:rsidSect="00350B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A3"/>
    <w:rsid w:val="00350BA3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BA3"/>
    <w:rPr>
      <w:b/>
      <w:bCs/>
    </w:rPr>
  </w:style>
  <w:style w:type="character" w:styleId="a4">
    <w:name w:val="Emphasis"/>
    <w:basedOn w:val="a0"/>
    <w:uiPriority w:val="20"/>
    <w:qFormat/>
    <w:rsid w:val="00350BA3"/>
    <w:rPr>
      <w:i/>
      <w:iCs/>
    </w:rPr>
  </w:style>
  <w:style w:type="character" w:customStyle="1" w:styleId="apple-converted-space">
    <w:name w:val="apple-converted-space"/>
    <w:basedOn w:val="a0"/>
    <w:rsid w:val="00350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BA3"/>
    <w:rPr>
      <w:b/>
      <w:bCs/>
    </w:rPr>
  </w:style>
  <w:style w:type="character" w:styleId="a4">
    <w:name w:val="Emphasis"/>
    <w:basedOn w:val="a0"/>
    <w:uiPriority w:val="20"/>
    <w:qFormat/>
    <w:rsid w:val="00350BA3"/>
    <w:rPr>
      <w:i/>
      <w:iCs/>
    </w:rPr>
  </w:style>
  <w:style w:type="character" w:customStyle="1" w:styleId="apple-converted-space">
    <w:name w:val="apple-converted-space"/>
    <w:basedOn w:val="a0"/>
    <w:rsid w:val="0035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2018-06-05T08:56:00Z</dcterms:created>
  <dcterms:modified xsi:type="dcterms:W3CDTF">2018-06-05T08:56:00Z</dcterms:modified>
</cp:coreProperties>
</file>